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7F0B6">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四川文化艺术学院网络安全情况通报</w:t>
      </w:r>
    </w:p>
    <w:p w14:paraId="0826D51C">
      <w:pPr>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（2025年第四季度）</w:t>
      </w:r>
    </w:p>
    <w:p w14:paraId="68FD3F3B">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各单位：</w:t>
      </w:r>
    </w:p>
    <w:p w14:paraId="04751F0B">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为进一步加强网络和数据安全管理，保障全校师生权益，现将近期网络安全工作通报如下：</w:t>
      </w:r>
    </w:p>
    <w:p w14:paraId="6CB6A1A5">
      <w:pPr>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一、重点工作</w:t>
      </w:r>
    </w:p>
    <w:p w14:paraId="278D64F3">
      <w:pPr>
        <w:keepNext w:val="0"/>
        <w:keepLines w:val="0"/>
        <w:widowControl/>
        <w:suppressLineNumbers w:val="0"/>
        <w:ind w:firstLine="640" w:firstLineChars="200"/>
        <w:jc w:val="left"/>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1.按主管部门要求，做好国庆假期（10</w:t>
      </w:r>
      <w:r>
        <w:rPr>
          <w:rFonts w:hint="default" w:ascii="仿宋" w:hAnsi="仿宋" w:eastAsia="仿宋" w:cs="仿宋"/>
          <w:sz w:val="32"/>
          <w:szCs w:val="32"/>
          <w:lang w:val="en-US" w:eastAsia="zh-CN"/>
        </w:rPr>
        <w:t>月1日—7日）、”</w:t>
      </w:r>
      <w:bookmarkStart w:id="0" w:name="_GoBack"/>
      <w:bookmarkEnd w:id="0"/>
      <w:r>
        <w:rPr>
          <w:rFonts w:hint="default" w:ascii="仿宋" w:hAnsi="仿宋" w:eastAsia="仿宋" w:cs="仿宋"/>
          <w:sz w:val="32"/>
          <w:szCs w:val="32"/>
          <w:lang w:val="en-US" w:eastAsia="zh-CN"/>
        </w:rPr>
        <w:t>一二·九”运动90周年（12月8日—10日）</w:t>
      </w:r>
      <w:r>
        <w:rPr>
          <w:rFonts w:hint="eastAsia" w:ascii="仿宋" w:hAnsi="仿宋" w:eastAsia="仿宋" w:cs="仿宋"/>
          <w:sz w:val="32"/>
          <w:szCs w:val="32"/>
          <w:lang w:val="en-US" w:eastAsia="zh-CN"/>
        </w:rPr>
        <w:t>期间</w:t>
      </w:r>
      <w:r>
        <w:rPr>
          <w:rFonts w:hint="eastAsia" w:ascii="仿宋" w:hAnsi="仿宋" w:eastAsia="仿宋" w:cs="仿宋"/>
          <w:b w:val="0"/>
          <w:bCs w:val="0"/>
          <w:sz w:val="32"/>
          <w:szCs w:val="32"/>
          <w:lang w:val="en-US" w:eastAsia="zh-CN"/>
        </w:rPr>
        <w:t>网络安全保障工作，按时进行平安信息报送。</w:t>
      </w:r>
    </w:p>
    <w:p w14:paraId="68BEC491">
      <w:pPr>
        <w:ind w:firstLine="640"/>
        <w:rPr>
          <w:rFonts w:hint="eastAsia" w:ascii="仿宋_GB2312" w:hAnsi="Times New Roman" w:eastAsia="仿宋_GB2312" w:cs="仿宋_GB2312"/>
          <w:i w:val="0"/>
          <w:iCs w:val="0"/>
          <w:caps w:val="0"/>
          <w:color w:val="111111"/>
          <w:spacing w:val="0"/>
          <w:sz w:val="32"/>
          <w:szCs w:val="32"/>
          <w:shd w:val="clear" w:fill="FFFFFF"/>
          <w:lang w:eastAsia="zh-CN"/>
        </w:rPr>
      </w:pPr>
      <w:r>
        <w:rPr>
          <w:rFonts w:hint="eastAsia" w:ascii="仿宋" w:hAnsi="仿宋" w:eastAsia="仿宋" w:cs="仿宋"/>
          <w:b w:val="0"/>
          <w:bCs w:val="0"/>
          <w:sz w:val="32"/>
          <w:szCs w:val="32"/>
          <w:lang w:val="en-US" w:eastAsia="zh-CN"/>
        </w:rPr>
        <w:t>2.按照《四川省教育厅办公室关于参加2023年教育系统网络安全专题网络研讨班的通知》</w:t>
      </w:r>
      <w:r>
        <w:rPr>
          <w:rFonts w:hint="default" w:ascii="仿宋_GB2312" w:hAnsi="Times New Roman" w:eastAsia="仿宋_GB2312" w:cs="仿宋_GB2312"/>
          <w:i w:val="0"/>
          <w:iCs w:val="0"/>
          <w:caps w:val="0"/>
          <w:color w:val="111111"/>
          <w:spacing w:val="0"/>
          <w:sz w:val="32"/>
          <w:szCs w:val="32"/>
          <w:shd w:val="clear" w:fill="FFFFFF"/>
        </w:rPr>
        <w:t>要求</w:t>
      </w:r>
      <w:r>
        <w:rPr>
          <w:rFonts w:hint="eastAsia" w:ascii="仿宋_GB2312" w:hAnsi="Times New Roman" w:eastAsia="仿宋_GB2312" w:cs="仿宋_GB2312"/>
          <w:i w:val="0"/>
          <w:iCs w:val="0"/>
          <w:caps w:val="0"/>
          <w:color w:val="111111"/>
          <w:spacing w:val="0"/>
          <w:sz w:val="32"/>
          <w:szCs w:val="32"/>
          <w:shd w:val="clear" w:fill="FFFFFF"/>
          <w:lang w:eastAsia="zh-CN"/>
        </w:rPr>
        <w:t>，</w:t>
      </w:r>
      <w:r>
        <w:rPr>
          <w:rFonts w:hint="eastAsia" w:ascii="仿宋_GB2312" w:hAnsi="Times New Roman" w:eastAsia="仿宋_GB2312" w:cs="仿宋_GB2312"/>
          <w:i w:val="0"/>
          <w:iCs w:val="0"/>
          <w:caps w:val="0"/>
          <w:color w:val="111111"/>
          <w:spacing w:val="0"/>
          <w:sz w:val="32"/>
          <w:szCs w:val="32"/>
          <w:shd w:val="clear" w:fill="FFFFFF"/>
          <w:lang w:val="en-US" w:eastAsia="zh-CN"/>
        </w:rPr>
        <w:t>由大数据部安排网络管理人员认真参加学习</w:t>
      </w:r>
      <w:r>
        <w:rPr>
          <w:rFonts w:hint="eastAsia" w:ascii="仿宋_GB2312" w:hAnsi="Times New Roman" w:eastAsia="仿宋_GB2312" w:cs="仿宋_GB2312"/>
          <w:i w:val="0"/>
          <w:iCs w:val="0"/>
          <w:caps w:val="0"/>
          <w:color w:val="111111"/>
          <w:spacing w:val="0"/>
          <w:sz w:val="32"/>
          <w:szCs w:val="32"/>
          <w:shd w:val="clear" w:fill="FFFFFF"/>
          <w:lang w:eastAsia="zh-CN"/>
        </w:rPr>
        <w:t>。</w:t>
      </w:r>
    </w:p>
    <w:p w14:paraId="15C7D331">
      <w:pPr>
        <w:keepNext w:val="0"/>
        <w:keepLines w:val="0"/>
        <w:widowControl/>
        <w:suppressLineNumbers w:val="0"/>
        <w:ind w:firstLine="640" w:firstLineChars="200"/>
        <w:jc w:val="left"/>
        <w:rPr>
          <w:rFonts w:hint="default" w:ascii="仿宋_GB2312" w:hAnsi="Times New Roman" w:eastAsia="仿宋_GB2312" w:cs="仿宋_GB2312"/>
          <w:i w:val="0"/>
          <w:iCs w:val="0"/>
          <w:caps w:val="0"/>
          <w:color w:val="111111"/>
          <w:spacing w:val="0"/>
          <w:sz w:val="32"/>
          <w:szCs w:val="32"/>
          <w:shd w:val="clear" w:fill="FFFFFF"/>
          <w:lang w:val="en-US" w:eastAsia="zh-CN"/>
        </w:rPr>
      </w:pPr>
      <w:r>
        <w:rPr>
          <w:rFonts w:hint="eastAsia" w:ascii="仿宋_GB2312" w:hAnsi="Times New Roman" w:eastAsia="仿宋_GB2312" w:cs="仿宋_GB2312"/>
          <w:i w:val="0"/>
          <w:iCs w:val="0"/>
          <w:caps w:val="0"/>
          <w:color w:val="111111"/>
          <w:spacing w:val="0"/>
          <w:sz w:val="32"/>
          <w:szCs w:val="32"/>
          <w:shd w:val="clear" w:fill="FFFFFF"/>
          <w:lang w:val="en-US" w:eastAsia="zh-CN"/>
        </w:rPr>
        <w:t>3.按照经开区党工委网信办《关于防范勒索病毒攻击的风险提示》要求，由大数据部做好机房网络安全防护巡查。</w:t>
      </w:r>
    </w:p>
    <w:p w14:paraId="297C9242">
      <w:pPr>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二、典型案例</w:t>
      </w:r>
    </w:p>
    <w:p w14:paraId="09B9A5CF">
      <w:pPr>
        <w:pStyle w:val="2"/>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tLeast"/>
        <w:ind w:left="0" w:leftChars="0" w:right="0" w:rightChars="0" w:firstLine="640" w:firstLineChars="200"/>
        <w:textAlignment w:val="auto"/>
        <w:rPr>
          <w:rFonts w:hint="eastAsia" w:ascii="仿宋" w:hAnsi="仿宋" w:eastAsia="仿宋" w:cs="仿宋"/>
          <w:kern w:val="2"/>
          <w:sz w:val="32"/>
          <w:szCs w:val="32"/>
          <w:shd w:val="clear" w:color="auto" w:fill="auto"/>
          <w:lang w:val="en-US" w:eastAsia="zh-CN" w:bidi="ar-SA"/>
        </w:rPr>
      </w:pPr>
      <w:r>
        <w:rPr>
          <w:rFonts w:hint="eastAsia" w:ascii="仿宋" w:hAnsi="仿宋" w:eastAsia="仿宋" w:cs="仿宋"/>
          <w:kern w:val="2"/>
          <w:sz w:val="32"/>
          <w:szCs w:val="32"/>
          <w:shd w:val="clear" w:color="auto" w:fill="auto"/>
          <w:lang w:val="en-US" w:eastAsia="zh-CN" w:bidi="ar-SA"/>
        </w:rPr>
        <w:t>1.近期，CNCERT和微步在线联合监测到由“黑猫”黑产团伙发起的黑产攻击活动。该团伙利用搜索引擎SEO（搜索引擎优化）技术将精心构造的仿冒钓鱼网站推送到搜索引擎关键字结果前列。用户在访问这些高排名的仿冒钓鱼页面后，被精心构造的下载流程页面诱导，尝试下载捆绑恶意程序的软件安装包。一旦运行安装，该程序会在用户不知情的情况下植入后门木马，导致主机敏感数据被攻击者窃取。      </w:t>
      </w:r>
    </w:p>
    <w:p w14:paraId="2B78A420">
      <w:pPr>
        <w:pStyle w:val="2"/>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tLeast"/>
        <w:ind w:right="0" w:rightChars="0"/>
        <w:jc w:val="left"/>
        <w:textAlignment w:val="auto"/>
        <w:rPr>
          <w:rFonts w:hint="eastAsia" w:ascii="仿宋" w:hAnsi="仿宋" w:eastAsia="仿宋" w:cs="仿宋"/>
          <w:sz w:val="32"/>
          <w:szCs w:val="32"/>
          <w:shd w:val="clear" w:color="auto" w:fill="auto"/>
          <w:lang w:val="en-US" w:eastAsia="zh-CN"/>
        </w:rPr>
      </w:pPr>
      <w:r>
        <w:rPr>
          <w:rFonts w:hint="eastAsia" w:ascii="仿宋" w:hAnsi="仿宋" w:eastAsia="仿宋" w:cs="仿宋"/>
          <w:kern w:val="2"/>
          <w:sz w:val="32"/>
          <w:szCs w:val="32"/>
          <w:shd w:val="clear" w:color="auto" w:fill="auto"/>
          <w:lang w:val="en-US" w:eastAsia="zh-CN" w:bidi="ar-SA"/>
        </w:rPr>
        <w:t>       “黑猫”黑产团伙最早攻击活动能追溯至22年，是一个主要目标为窃密远控的黑产团伙。该团伙的常见手法就是通过部署钓鱼网站，并在搜索引擎进行投递，向用户传播窃密木马以窃取用户主机信息。23年该团伙通过仿冒AICoin（虚拟货币行情交易平台）虚假下载网站，窃取了价值不低于16万美金的虚拟货币。24年该团伙通过搜索引擎SEO技术在Bing搜索引擎投递了仿冒Chrome浏览器钓鱼页面诱导用户点击安装，在受害者主机上释放了窃密程序，并一同释放挖矿程序进行挖矿。25年6月该团伙利用国内某知名搜索引擎投递了QQ国际版、爱思助手等软件的仿冒程序，诱导用户安装传播窃密程序</w:t>
      </w:r>
      <w:r>
        <w:rPr>
          <w:rFonts w:hint="eastAsia" w:ascii="仿宋" w:hAnsi="仿宋" w:eastAsia="仿宋" w:cs="仿宋"/>
          <w:sz w:val="32"/>
          <w:szCs w:val="32"/>
          <w:shd w:val="clear" w:color="auto" w:fill="auto"/>
          <w:lang w:val="en-US" w:eastAsia="zh-CN"/>
        </w:rPr>
        <w:t>。</w:t>
      </w:r>
    </w:p>
    <w:p w14:paraId="5B82C664">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 近期，CNCERT和绿盟科技伏影实验室联合监测到黑客利用React2Shell（CVE-2025-55182）漏洞传播僵尸网络NutsBot。</w:t>
      </w:r>
    </w:p>
    <w:p w14:paraId="7CA7EDBA">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React2Shell（CVE-2025-55182）漏洞是2025年12月3日公开披露的一个高危安全漏洞，具备影响范围广、攻击门槛低、危害程度高等特点。该漏洞源于React服务器组件（RSC）协议层的不安全反序列化缺陷，允许未经认证的攻击者通过构造恶意请求在受影响的服务器上执行任意代码，进而实现完全控制、内网渗透或部署恶意软件。</w:t>
      </w:r>
    </w:p>
    <w:p w14:paraId="42184982">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NutsBot是一款新型僵尸网络家族，该家族不仅继承了传统DDoS攻击能力，还集成了信息窃取、远程命令执行、挖矿牟利等多重功能，并通过动态基础设施、复杂认证协议及多种反检测技术，展现出较强的隐蔽性、抗干扰能力和持续演进特征。</w:t>
      </w:r>
    </w:p>
    <w:p w14:paraId="13E9080D">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近期以来，NutsBot利用新曝光的React2Shell（CVE-</w:t>
      </w:r>
    </w:p>
    <w:p w14:paraId="775589E2">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2025-55182）漏洞进行传播，并持续对国内外目标频繁发起攻击活动。</w:t>
      </w:r>
    </w:p>
    <w:p w14:paraId="26FAFCC4">
      <w:pPr>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三、风险提示</w:t>
      </w:r>
    </w:p>
    <w:p w14:paraId="45D24AB2">
      <w:pPr>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公安部计算机信息系统安全产品质量监督检验中心检测，34款移动应用存在违法违规收集使用个人信息情况，如：强制要求用户提供非必要的个人信息。涉及4款移动应用如下：《脉脉》（版本6.6.82，华为应用市场）、《玩吧》（版本11.6.3，华为应用市场）、《哈哈喵开黑》（版本2.4.0，OPPO软件商店）、《凹凸租车》（版本6.7.5，vivo应用商店）。</w:t>
      </w:r>
    </w:p>
    <w:p w14:paraId="4A60EA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中国国家网络与信息安全信息通报中心通过支撑单位发现一批境外恶意网址和恶意IP，境外黑客组织利用这些网址和IP持续对中国和其他国家发起网络攻击。这些恶意网址和IP都与特定木马程序或木马程序控制端密切关联，网络攻击类型包括建立僵尸网络、后门利用等，对中国国内联网单位和互联网用户构成重大威胁。相关恶意网址和恶意IP归属地主要涉及：美国、德国、荷兰、拉脱维亚、土耳其、伊朗、韩国、巴西。主要情况如下：</w:t>
      </w:r>
    </w:p>
    <w:p w14:paraId="21C997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一、恶意地址信息</w:t>
      </w:r>
    </w:p>
    <w:p w14:paraId="54BE60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（一）恶意地址：station.myvnc.com</w:t>
      </w:r>
    </w:p>
    <w:p w14:paraId="7CE092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关联IP地址：97.106.23.197</w:t>
      </w:r>
    </w:p>
    <w:p w14:paraId="720FA1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归属地：美国/佛罗里达州/布雷登顿</w:t>
      </w:r>
    </w:p>
    <w:p w14:paraId="5A9414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威胁类型：后门</w:t>
      </w:r>
    </w:p>
    <w:p w14:paraId="7124F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病毒家族：Nanocore</w:t>
      </w:r>
    </w:p>
    <w:p w14:paraId="7E96FC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是一种远程访问木马，被用于间谍活动和系统远程控制。攻击者获得感染病毒的主机访问权限，能够录制音频和视频、键盘记录、收集凭据和个人信息、操作文件和注册表、下载和执行其他恶意软件负载等。Nanocore还支持插件，能够扩展实现各种恶意功能，比如挖掘加密货币，勒索软件攻击等。</w:t>
      </w:r>
    </w:p>
    <w:p w14:paraId="57A050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（二）恶意地址：jaks.ddns.net</w:t>
      </w:r>
    </w:p>
    <w:p w14:paraId="63CEE1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关联IP地址：134.209.173.227</w:t>
      </w:r>
    </w:p>
    <w:p w14:paraId="77E24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归属地：美国/新泽西州/克利夫顿</w:t>
      </w:r>
    </w:p>
    <w:p w14:paraId="7AEF8A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威胁类型：后门</w:t>
      </w:r>
    </w:p>
    <w:p w14:paraId="61B35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病毒家族：AsyncRAT</w:t>
      </w:r>
    </w:p>
    <w:p w14:paraId="552AE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一种后门木马，采用C#语言编写，主要功能包括屏幕监控、键盘记录、密码获取、文件窃取、进程管理、开关摄像头、交互式SHELL，以及访问特定URL等。主要通过移动介质、网络钓鱼等方式进行传播，现已发现多个关联变种，部分变种主要针对民生领域的联网系统。</w:t>
      </w:r>
    </w:p>
    <w:p w14:paraId="67754A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（三）恶意地址：ilenudavous-monoxoxapal-semimihupu</w:t>
      </w:r>
    </w:p>
    <w:p w14:paraId="150EE3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tion.info</w:t>
      </w:r>
    </w:p>
    <w:p w14:paraId="2C4609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关联IP地址：178.162.203.211</w:t>
      </w:r>
    </w:p>
    <w:p w14:paraId="4C0470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归属地：德国/黑森州/美因河畔法兰克福</w:t>
      </w:r>
    </w:p>
    <w:p w14:paraId="6CF85B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威胁类型：僵尸网络</w:t>
      </w:r>
    </w:p>
    <w:p w14:paraId="0D35B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病毒家族：MooBot</w:t>
      </w:r>
    </w:p>
    <w:p w14:paraId="3ACE87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描述：这是一种Mirai僵尸网络的变种，常借助各种IoT设备漏洞例如CVE-2015-2051、CVE-2018-6530、CVE-2022-</w:t>
      </w:r>
    </w:p>
    <w:p w14:paraId="4C1320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26258、CVE-2022-28958等进行入侵，攻击者在成功入侵设备后将下载MooBot的二进制文件并执行，进而组建僵尸网络并可能发起DDoS(分布式拒绝服务)攻击。</w:t>
      </w:r>
    </w:p>
    <w:p w14:paraId="1D9DC0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（四）恶意地址：196.251.115.19</w:t>
      </w:r>
    </w:p>
    <w:p w14:paraId="57BCBA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归属地：荷兰/北荷兰省/阿姆斯特丹</w:t>
      </w:r>
    </w:p>
    <w:p w14:paraId="343DAE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威胁类型：僵尸网络</w:t>
      </w:r>
    </w:p>
    <w:p w14:paraId="08BBA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病毒家族：Gafgyt</w:t>
      </w:r>
    </w:p>
    <w:p w14:paraId="1EF7FD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这是一种基于因特网中继聊天（IRC）协议的物联网僵尸网络病毒，主要通过漏洞利用和内置的用户名、密码字典进行Telnet和SSH暴力破解等方式进行扩散传播。可对网络设备进行扫描，攻击网络摄像机、路由器等IoT设备，攻击成功后，利用僵尸程序形成僵尸网络，对目标网络系统发起分布式拒绝服务（DDoS）攻击，可能造成大面积网络瘫痪。</w:t>
      </w:r>
    </w:p>
    <w:p w14:paraId="60B357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（五）恶意地址：glad147.ddns.net</w:t>
      </w:r>
    </w:p>
    <w:p w14:paraId="1297D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关联IP地址：185.214.10.22</w:t>
      </w:r>
    </w:p>
    <w:p w14:paraId="5B09F5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归属地：荷兰/北荷兰/阿姆斯特丹</w:t>
      </w:r>
    </w:p>
    <w:p w14:paraId="49B1F7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威胁类型：后门</w:t>
      </w:r>
    </w:p>
    <w:p w14:paraId="59B4C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病毒家族：Quasar</w:t>
      </w:r>
    </w:p>
    <w:p w14:paraId="1CF138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描述：一种基于.NET Framework的远程管理木马，提供文件管理、进程管理、远程桌面、远程shell、上传下载、获取系统信息、重启关机、键盘记录、窃取密码、注册表编辑等功能，常被攻击者用于信息窃取和远程控制受害者主机。</w:t>
      </w:r>
    </w:p>
    <w:p w14:paraId="0E4E7C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（六）恶意地址：193.111.78.190</w:t>
      </w:r>
    </w:p>
    <w:p w14:paraId="69EA4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归属地：土耳其/布尔萨省/布尔萨</w:t>
      </w:r>
    </w:p>
    <w:p w14:paraId="27B755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威胁类型：僵尸网络</w:t>
      </w:r>
    </w:p>
    <w:p w14:paraId="29EF9F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病毒家族：Gafgyt</w:t>
      </w:r>
    </w:p>
    <w:p w14:paraId="2CFAF1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这是一种基于因特网中继聊天（IRC）协议的物联网僵尸网络病毒，主要通过漏洞利用和内置的用户名、密码字典进行Telnet和SSH暴力破解等方式进行扩散传播。可对网络设备进行扫描，攻击网络摄像机、路由器等IoT设备，攻击成功后，利用僵尸程序形成僵尸网络，对目标网络系统发起分布式拒绝服务（DDoS）攻击，可能造成大面积网络瘫痪。</w:t>
      </w:r>
    </w:p>
    <w:p w14:paraId="30B03D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（七）恶意地址：p.findmeatthe.top</w:t>
      </w:r>
    </w:p>
    <w:p w14:paraId="63DA95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关联IP地址：94.140.120.193</w:t>
      </w:r>
    </w:p>
    <w:p w14:paraId="36CAED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归属地：拉脱维亚/里加市/里加</w:t>
      </w:r>
    </w:p>
    <w:p w14:paraId="6C5E84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威胁类型：僵尸网络</w:t>
      </w:r>
    </w:p>
    <w:p w14:paraId="7A31B7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病毒家族：Mirai</w:t>
      </w:r>
    </w:p>
    <w:p w14:paraId="0A0F7A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描述：这是一种Linux僵尸网络病毒，通过网络下载、漏洞利用、Telnet和SSH暴力破解等方式进行扩散，入侵成功后可对目标网络系统发起分布式拒绝服务（DDoS）攻击。</w:t>
      </w:r>
    </w:p>
    <w:p w14:paraId="7A10F8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（八）恶意地址：joker.proxywall.p-e.kr</w:t>
      </w:r>
    </w:p>
    <w:p w14:paraId="50D506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关联IP地址：37.49.148.60</w:t>
      </w:r>
    </w:p>
    <w:p w14:paraId="4A7AD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归属地：伊朗</w:t>
      </w:r>
    </w:p>
    <w:p w14:paraId="62E3F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威胁类型：僵尸网络</w:t>
      </w:r>
    </w:p>
    <w:p w14:paraId="0BA21C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病毒家族：Mirai</w:t>
      </w:r>
    </w:p>
    <w:p w14:paraId="2D1B07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描述：这是一种Linux僵尸网络病毒，通过网络下载、漏洞利用、Telnet和SSH暴力破解等方式进行扩散，入侵成功后可对目标网络系统发起分布式拒绝服务（DDoS）攻击。</w:t>
      </w:r>
    </w:p>
    <w:p w14:paraId="29055D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（九）恶意地址：116.204.171.195</w:t>
      </w:r>
    </w:p>
    <w:p w14:paraId="58890D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归属地：韩国/首尔特别/首尔</w:t>
      </w:r>
    </w:p>
    <w:p w14:paraId="4B516D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威胁类型：后门</w:t>
      </w:r>
    </w:p>
    <w:p w14:paraId="7176CC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病毒家族：Farfli</w:t>
      </w:r>
    </w:p>
    <w:p w14:paraId="436131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一种远控木马，能够通过网络下载、软件捆绑、网络钓鱼等多种方式传播。其允许远程攻击者执行多种远控操作，比如监控电脑屏幕、键盘记录、下载安装任意文件、窃取隐私信息，甚至还可以控制感染的计算机发起DDoS攻击。</w:t>
      </w:r>
    </w:p>
    <w:p w14:paraId="684EE5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（十）恶意地址：xwormkdv.ddns.net</w:t>
      </w:r>
    </w:p>
    <w:p w14:paraId="1A6758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关联IP地址：189.6.66.135</w:t>
      </w:r>
    </w:p>
    <w:p w14:paraId="013994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归属地：巴西/联邦区/巴西利亚</w:t>
      </w:r>
    </w:p>
    <w:p w14:paraId="522177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威胁类型：后门</w:t>
      </w:r>
    </w:p>
    <w:p w14:paraId="343FAC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病毒家族：DarkKomet</w:t>
      </w:r>
    </w:p>
    <w:p w14:paraId="409CE8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描述：一种后门程序，允许攻击者使用图形用户界面控制感染的主机，运行后能够修改系统设置、记录键盘、截图、捕获声音摄像头，通过套接字建立与控制服务器的连接，侦听来自远程服务器的命令、执行下载文件、启动程序、运行脚本等操作。</w:t>
      </w:r>
    </w:p>
    <w:p w14:paraId="7A04E3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二、排查方法</w:t>
      </w:r>
    </w:p>
    <w:p w14:paraId="436A90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（一）详细查看分析浏览器记录以及网络设备中近期流量和DNS请求记录，查看是否有以上恶意地址连接记录，如有条件可提取源IP、设备信息、连接时间等信息进行深入分析。</w:t>
      </w:r>
    </w:p>
    <w:p w14:paraId="058144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（二）在本单位应用系统中部署网络流量检测设备进行流量数据分析，追踪与上述网址和IP发起通信的设备网上活动痕迹。</w:t>
      </w:r>
    </w:p>
    <w:p w14:paraId="09F23D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（三）如果能够成功定位到遭受攻击的联网设备，可主动对这些设备进行勘验取证，进而组织技术分析。</w:t>
      </w:r>
    </w:p>
    <w:p w14:paraId="5D1B74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三、处置建议</w:t>
      </w:r>
    </w:p>
    <w:p w14:paraId="1841F9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（一）对所有通过社交平台或电子邮件渠道接收的文件和链接保持高度警惕，重点关注其中来源未知或不可信的情况，不要轻易信任或打开相关文件。</w:t>
      </w:r>
    </w:p>
    <w:p w14:paraId="440EF0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（二）及时在威胁情报产品或网络出口防护设备中更新规则，坚决拦截以上恶意网址和恶意IP的访问。</w:t>
      </w:r>
    </w:p>
    <w:p w14:paraId="45A075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40" w:firstLineChars="200"/>
        <w:jc w:val="both"/>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（三）向公安机关及时报告，配合开展现场调查和技术溯源。</w:t>
      </w:r>
    </w:p>
    <w:p w14:paraId="153BC1A6">
      <w:pPr>
        <w:ind w:firstLine="640" w:firstLineChars="200"/>
        <w:rPr>
          <w:rFonts w:hint="default" w:ascii="仿宋" w:hAnsi="仿宋" w:eastAsia="仿宋" w:cs="仿宋"/>
          <w:sz w:val="32"/>
          <w:szCs w:val="32"/>
          <w:lang w:val="en-US" w:eastAsia="zh-CN"/>
        </w:rPr>
      </w:pPr>
    </w:p>
    <w:p w14:paraId="4801577D">
      <w:pPr>
        <w:rPr>
          <w:rFonts w:hint="eastAsia" w:ascii="仿宋" w:hAnsi="仿宋" w:eastAsia="仿宋" w:cs="仿宋"/>
          <w:sz w:val="32"/>
          <w:szCs w:val="32"/>
          <w:lang w:val="en-US" w:eastAsia="zh-CN"/>
        </w:rPr>
      </w:pPr>
    </w:p>
    <w:p w14:paraId="478E4386">
      <w:pPr>
        <w:rPr>
          <w:rFonts w:hint="eastAsia" w:ascii="仿宋" w:hAnsi="仿宋" w:eastAsia="仿宋" w:cs="仿宋"/>
          <w:sz w:val="32"/>
          <w:szCs w:val="32"/>
          <w:lang w:val="en-US" w:eastAsia="zh-CN"/>
        </w:rPr>
      </w:pPr>
    </w:p>
    <w:p w14:paraId="3E85A940">
      <w:pPr>
        <w:rPr>
          <w:rFonts w:hint="eastAsia" w:ascii="仿宋" w:hAnsi="仿宋" w:eastAsia="仿宋" w:cs="仿宋"/>
          <w:sz w:val="32"/>
          <w:szCs w:val="32"/>
          <w:lang w:val="en-US" w:eastAsia="zh-CN"/>
        </w:rPr>
      </w:pPr>
    </w:p>
    <w:p w14:paraId="135B6FB1">
      <w:pPr>
        <w:ind w:firstLine="5440" w:firstLineChars="17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大数据部</w:t>
      </w:r>
    </w:p>
    <w:p w14:paraId="1D7140E2">
      <w:pPr>
        <w:ind w:left="0" w:leftChars="0" w:firstLine="4838" w:firstLineChars="1512"/>
        <w:rPr>
          <w:rFonts w:hint="default" w:ascii="仿宋" w:hAnsi="仿宋" w:eastAsia="仿宋" w:cs="仿宋"/>
          <w:sz w:val="21"/>
          <w:szCs w:val="21"/>
          <w:lang w:val="en-US" w:eastAsia="zh-CN"/>
        </w:rPr>
      </w:pPr>
      <w:r>
        <w:rPr>
          <w:rFonts w:hint="eastAsia" w:ascii="仿宋" w:hAnsi="仿宋" w:eastAsia="仿宋" w:cs="仿宋"/>
          <w:sz w:val="32"/>
          <w:szCs w:val="32"/>
          <w:lang w:val="en-US" w:eastAsia="zh-CN"/>
        </w:rPr>
        <w:t>2025年12月29日</w:t>
      </w:r>
    </w:p>
    <w:sectPr>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E119C6"/>
    <w:rsid w:val="1BF50145"/>
    <w:rsid w:val="242D6ED6"/>
    <w:rsid w:val="398D1C73"/>
    <w:rsid w:val="427547C4"/>
    <w:rsid w:val="518C31CB"/>
    <w:rsid w:val="78E42141"/>
    <w:rsid w:val="7FD85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3222</Words>
  <Characters>3888</Characters>
  <Lines>0</Lines>
  <Paragraphs>0</Paragraphs>
  <TotalTime>54</TotalTime>
  <ScaleCrop>false</ScaleCrop>
  <LinksUpToDate>false</LinksUpToDate>
  <CharactersWithSpaces>3903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2025-10-16T05:48:00Z</dcterms:created>
  <dc:creator>Administrator</dc:creator>
  <cp:lastModifiedBy>漠</cp:lastModifiedBy>
  <dcterms:modified xsi:type="dcterms:W3CDTF">2026-06-17T01:57:08Z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eyJoZGlkIjoiMGUzMzc4ZDQ2MDY3M2U1OGJjYzEzNTM3MGExMWY1ZTYiLCJ1c2VySWQiOiIzMDY4Nzk0MzgifQ==</vt:lpwstr>
  </property>
  <property fmtid="{D5CDD505-2E9C-101B-9397-08002B2CF9AE}" pid="4" name="ICV">
    <vt:lpwstr>4A5196BB1330403E80D88D90C9024CCF_13</vt:lpwstr>
  </property>
</Properties>
</file>